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для-призывников-2022-г."/>
    <w:p>
      <w:pPr>
        <w:pStyle w:val="Heading3"/>
      </w:pPr>
      <w:r>
        <w:t xml:space="preserve">ИНФОРМАЦИЯ ДЛЯ ПРИЗЫВНИКОВ 2022 г.</w:t>
      </w:r>
    </w:p>
    <w:p>
      <w:pPr>
        <w:pStyle w:val="FirstParagraph"/>
      </w:pPr>
      <w:r>
        <w:t xml:space="preserve">24.02.2022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http://orehovo-borisovo-juzhnoe.mos.ru/safety-and-security/the-military-enlistment-office-informs/detail/10642880.html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afety-and-security/the-military-enlistment-office-informs/detail/10642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afety-and-security/the-military-enlistment-office-informs/detail/10642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2024-10-03T02:02:25Z</dcterms:created>
  <dcterms:modified xsi:type="dcterms:W3CDTF">2024-10-03T02:02:25Z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