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82c67adcccdebf81e7fb6d57dd76917e785240"/>
    <w:p>
      <w:pPr>
        <w:pStyle w:val="Heading3"/>
      </w:pPr>
      <w:r>
        <w:t xml:space="preserve">О запуске единой антинаркотической коммуникационной кампании</w:t>
      </w:r>
    </w:p>
    <w:p>
      <w:pPr>
        <w:pStyle w:val="FirstParagraph"/>
      </w:pPr>
      <w:r>
        <w:t xml:space="preserve">07.04.2025</w:t>
      </w:r>
    </w:p>
    <w:p>
      <w:pPr>
        <w:pStyle w:val="BodyText"/>
      </w:pPr>
      <w:r>
        <w:t xml:space="preserve">Информируем, что во исполнение решения Государственного антинаркотического комитета от 5 июля 2023 г. (протокол № 52) с 1 марта 2025 г. в информационно-телекоммуникационной сети «Интернет» (далее - сеть Интернет) запущена единая антинаркотическая коммуникационная кампания (далее - Кампания), направленная на продвижение контента, популяризирующего ценности здорового образа жизни и формирующего в обществе осознанное негативное отношение к незаконному потреблению наркотиков.</w:t>
      </w:r>
    </w:p>
    <w:p>
      <w:pPr>
        <w:pStyle w:val="BodyText"/>
      </w:pPr>
      <w:r>
        <w:t xml:space="preserve">В период с марта по апрель 2025 г. на ресурсах «Яндекс», «ВКонтакте» и иных сайтах российского сегмента сети Интернет обеспечивается размещение статических и анимированных баннеров, ведущих интернет-пользователей на посадочную страницу (лендинг) Кампании по адресу </w:t>
      </w:r>
      <w:hyperlink r:id="rId20">
        <w:r>
          <w:rPr>
            <w:rStyle w:val="Hyperlink"/>
          </w:rPr>
          <w:t xml:space="preserve">https://навыки.будьвдвижении.рф/nodrugs</w:t>
        </w:r>
      </w:hyperlink>
      <w:r>
        <w:t xml:space="preserve">.</w:t>
      </w:r>
    </w:p>
    <w:p>
      <w:pPr>
        <w:pStyle w:val="BodyText"/>
      </w:pPr>
      <w:r>
        <w:t xml:space="preserve">Указанная страница содержит наглядные графические материалы, разработанные межведомственной рабочей группой ГАК по вопросам профилактики незаконного потребления наркотических средств и психотропных веществ с использованием ресурсных возможностей Общероссийского общественно-государственного движения детей и молодежи «Движение первых» и согласованные с Министерством просвещения и Министерством здравоохранения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http://orehovo-borisovo-juzhnoe.mos.ru/safety-and-security/profilaktika-narkomanii/detail/12901179.html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safety-and-security/profilaktika-narkomanii/detail/12901179.html" TargetMode="External" /><Relationship Type="http://schemas.openxmlformats.org/officeDocument/2006/relationships/hyperlink" Id="rId20" Target="https://&#1085;&#1072;&#1074;&#1099;&#1082;&#1080;.&#1073;&#1091;&#1076;&#1100;&#1074;&#1076;&#1074;&#1080;&#1078;&#1077;&#1085;&#1080;&#1080;.&#1088;&#1092;/nodru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safety-and-security/profilaktika-narkomanii/detail/12901179.html" TargetMode="External" /><Relationship Type="http://schemas.openxmlformats.org/officeDocument/2006/relationships/hyperlink" Id="rId20" Target="https://&#1085;&#1072;&#1074;&#1099;&#1082;&#1080;.&#1073;&#1091;&#1076;&#1100;&#1074;&#1076;&#1074;&#1080;&#1078;&#1077;&#1085;&#1080;&#1080;.&#1088;&#1092;/nodru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2025-06-15T05:28:33Z</dcterms:created>
  <dcterms:modified xsi:type="dcterms:W3CDTF">2025-06-15T05:28:33Z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