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ed33906564769022e931c2069cd21d2181d461"/>
    <w:p>
      <w:pPr>
        <w:pStyle w:val="Heading3"/>
      </w:pPr>
      <w:r>
        <w:t xml:space="preserve">Проведение общего собрания собственников многоквартирных домов</w:t>
      </w:r>
    </w:p>
    <w:p>
      <w:pPr>
        <w:pStyle w:val="FirstParagraph"/>
      </w:pPr>
      <w:r>
        <w:t xml:space="preserve">20.03.2015</w:t>
      </w:r>
    </w:p>
    <w:p>
      <w:pPr>
        <w:pStyle w:val="BodyText"/>
      </w:pPr>
      <w:r>
        <w:t xml:space="preserve">В соответствии с постановлением московского правительства от 29.12.2014 № 833-ПП «Об установлении минимального размера взноса на капитальный ремонт общего имущества в многоквартирных домах на территории Москвы в 2015 году» решение об определении способа формирования фонда капитального ремонта должно быть принято и реализовано собственниками помещений в многоквартирном доме в течение 5 месяцев после официального опубликования Региональной программы, в которую включен многоквартирный дом.</w:t>
      </w:r>
    </w:p>
    <w:p>
      <w:pPr>
        <w:pStyle w:val="BodyText"/>
      </w:pPr>
      <w:r>
        <w:t xml:space="preserve">Региональная программа была опубликована 30 декабря 2014 года. Решения об определении способа формирования фонда капитального ремонта должны быть приняты и реализованы собственниками помещений в многоквартирных домах в Москве в срок до 30 мая 2015 года.</w:t>
      </w:r>
    </w:p>
    <w:p>
      <w:pPr>
        <w:pStyle w:val="BodyText"/>
      </w:pPr>
      <w:r>
        <w:t xml:space="preserve">Решение о выборе способа формирования фонда капитального ремонта многоквартирного дома на счете регионального оператора принимается на общем собрании собственников помещений, проводимом в соответствии со ст.ст. 44-48 Жилищного кодекса РФ (Приложения № 1, 2 к Методическим рекомендациям).</w:t>
      </w:r>
    </w:p>
    <w:p>
      <w:pPr>
        <w:pStyle w:val="BodyText"/>
      </w:pPr>
      <w:r>
        <w:t xml:space="preserve">Итак, общее собрание может быть проведено:</w:t>
      </w:r>
    </w:p>
    <w:p>
      <w:pPr>
        <w:pStyle w:val="BodyText"/>
      </w:pPr>
      <w:r>
        <w:t xml:space="preserve">- в очной форме (собрание), то есть при совместном присутствии собственников помещений многоквартирного дома в конкретном месте и в конкретное время для обсуждения вопросов повестки дня общего собрания и принятия решений по вопросам, поставленным на голосование;</w:t>
      </w:r>
    </w:p>
    <w:p>
      <w:pPr>
        <w:pStyle w:val="BodyText"/>
      </w:pPr>
      <w:r>
        <w:t xml:space="preserve">- в форме заочного голосования – без совместного присутствия путем передачи в место или по адресу, которые указаны в сообщении о проведении общего собрания, оформленных в письменной форме решений собственников по вопросам повестки дня общего собрания, поставленным на голосование.</w:t>
      </w:r>
    </w:p>
    <w:p>
      <w:pPr>
        <w:pStyle w:val="BodyText"/>
      </w:pPr>
      <w:r>
        <w:t xml:space="preserve">Первое общее собрание по тому или иному вопросу, в том числе и по выбору способа формирования фонда капитального ремонта, проводится путем совместного присутствия собственников помещений (Приложение № 1 к Методическим рекомендациям).</w:t>
      </w:r>
    </w:p>
    <w:p>
      <w:pPr>
        <w:pStyle w:val="BodyText"/>
      </w:pPr>
      <w:r>
        <w:t xml:space="preserve">Форма заочного голосования применима только в том случае, если при проведении первого общего собрания в очной форме такое собрание не имело установленного Жилищным кодексом РФ. В этом случае, решения общего собрания по этим же вопросам повестки дня могут быть приняты путем проведения заочного голосования (Приложение № 2 к Методическим рекомендациям).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http://orehovo-borisovo-juzhnoe.mos.ru/presscenter/news/detail/1676384.html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presscenter/news/detail/16763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presscenter/news/detail/16763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2025-04-10T02:32:28Z</dcterms:created>
  <dcterms:modified xsi:type="dcterms:W3CDTF">2025-04-10T02:32:28Z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