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авила-выдачи-резидентных-разрешений"/>
    <w:p>
      <w:pPr>
        <w:pStyle w:val="Heading3"/>
      </w:pPr>
      <w:r>
        <w:t xml:space="preserve">Правила выдачи резидентных разрешений</w:t>
      </w:r>
    </w:p>
    <w:p>
      <w:pPr>
        <w:pStyle w:val="FirstParagraph"/>
      </w:pPr>
      <w:r>
        <w:t xml:space="preserve">21.12.2016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http://orehovo-borisovo-juzhnoe.mos.ru/parking/news/detail/4491458.html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arking/news/detail/44914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arking/news/detail/44914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2025-04-10T01:44:16Z</dcterms:created>
  <dcterms:modified xsi:type="dcterms:W3CDTF">2025-04-10T01:44:16Z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