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ed7f564c1fe2744abddd069b54ea598660ed64"/>
    <w:p>
      <w:pPr>
        <w:pStyle w:val="Heading3"/>
      </w:pPr>
      <w:r>
        <w:t xml:space="preserve">Департаментом транспорта города Москвы разработана схема размещения специальных парковочных мест для грузового транспорта разрешенной максимальной массой более полутора тонн.</w:t>
      </w:r>
    </w:p>
    <w:p>
      <w:pPr>
        <w:pStyle w:val="FirstParagraph"/>
      </w:pPr>
      <w:r>
        <w:t xml:space="preserve">29.06.2016</w:t>
      </w:r>
    </w:p>
    <w:p>
      <w:pPr>
        <w:pStyle w:val="BodyText"/>
      </w:pPr>
      <w:r>
        <w:t xml:space="preserve">Департаментом транспорта города Москвы разработана схема размещения специальных парковочных мест для грузового транспорта разрешенной максимальной массой более полутора тонн.</w:t>
      </w:r>
    </w:p>
    <w:p>
      <w:pPr>
        <w:pStyle w:val="BodyText"/>
      </w:pPr>
      <w:r>
        <w:t xml:space="preserve">С 30 октября 2014 года в зонах высокой торговой активности в пределах Садового кольца организованы специальные парковочные места для грузового транспорта. Эти места определены посредством натурных и опросных исследований и отвечают требованиям удобства и безопасности. Специальные парковки организованы на улицах, где отсутствует возможность проведения разгрузочно-погрузочных работ вне улично-дорожной сети. Кроме того, парковки организованы в начале пешеходных улиц города, чтобы максимально сократить дистанцию ручной доставки грузов от грузового автомобиля до торговых объектов, расположенных на пешеходных улицах.</w:t>
      </w:r>
    </w:p>
    <w:bookmarkEnd w:id="20"/>
    <w:bookmarkStart w:id="24" w:name="X22753bbd039cccca0672a91cc8ffe7a2e9f3284"/>
    <w:p>
      <w:pPr>
        <w:pStyle w:val="Heading3"/>
      </w:pPr>
      <w:r>
        <w:t xml:space="preserve">Адреса специальных парковочных мест для грузового транспорта</w:t>
      </w:r>
    </w:p>
    <w:p>
      <w:pPr>
        <w:numPr>
          <w:ilvl w:val="0"/>
          <w:numId w:val="1001"/>
        </w:numPr>
        <w:pStyle w:val="Compact"/>
      </w:pPr>
      <w:r>
        <w:t xml:space="preserve">Большой Златоустинский переулок, дом 7, строение 1</w:t>
      </w:r>
    </w:p>
    <w:p>
      <w:pPr>
        <w:numPr>
          <w:ilvl w:val="0"/>
          <w:numId w:val="1001"/>
        </w:numPr>
        <w:pStyle w:val="Compact"/>
      </w:pPr>
      <w:r>
        <w:t xml:space="preserve">Лубянский проезд, дом 15/2</w:t>
      </w:r>
    </w:p>
    <w:p>
      <w:pPr>
        <w:numPr>
          <w:ilvl w:val="0"/>
          <w:numId w:val="1001"/>
        </w:numPr>
        <w:pStyle w:val="Compact"/>
      </w:pPr>
      <w:r>
        <w:t xml:space="preserve">Лубянский проезд, дом 25, строение 1</w:t>
      </w:r>
    </w:p>
    <w:p>
      <w:pPr>
        <w:numPr>
          <w:ilvl w:val="0"/>
          <w:numId w:val="1001"/>
        </w:numPr>
        <w:pStyle w:val="Compact"/>
      </w:pPr>
      <w:r>
        <w:t xml:space="preserve">Чистопрудный бульвар, дом 15, строение 1</w:t>
      </w:r>
    </w:p>
    <w:p>
      <w:pPr>
        <w:numPr>
          <w:ilvl w:val="0"/>
          <w:numId w:val="1001"/>
        </w:numPr>
        <w:pStyle w:val="Compact"/>
      </w:pPr>
      <w:r>
        <w:t xml:space="preserve">Большая Татарская улица, дом 36</w:t>
      </w:r>
    </w:p>
    <w:p>
      <w:pPr>
        <w:numPr>
          <w:ilvl w:val="0"/>
          <w:numId w:val="1001"/>
        </w:numPr>
        <w:pStyle w:val="Compact"/>
      </w:pPr>
      <w:r>
        <w:t xml:space="preserve">Улица Сретенка, дом 1</w:t>
      </w:r>
    </w:p>
    <w:p>
      <w:pPr>
        <w:numPr>
          <w:ilvl w:val="0"/>
          <w:numId w:val="1001"/>
        </w:numPr>
        <w:pStyle w:val="Compact"/>
      </w:pPr>
      <w:r>
        <w:t xml:space="preserve">Улица Кузнецкий Мост, дом 20/6/9, строение 1</w:t>
      </w:r>
    </w:p>
    <w:p>
      <w:pPr>
        <w:numPr>
          <w:ilvl w:val="0"/>
          <w:numId w:val="1001"/>
        </w:numPr>
        <w:pStyle w:val="Compact"/>
      </w:pPr>
      <w:r>
        <w:t xml:space="preserve">Газетный переулок, дом 3</w:t>
      </w:r>
    </w:p>
    <w:p>
      <w:pPr>
        <w:numPr>
          <w:ilvl w:val="0"/>
          <w:numId w:val="1001"/>
        </w:numPr>
        <w:pStyle w:val="Compact"/>
      </w:pPr>
      <w:r>
        <w:t xml:space="preserve">Спиридоньевский переулок, дом 6</w:t>
      </w:r>
    </w:p>
    <w:p>
      <w:pPr>
        <w:numPr>
          <w:ilvl w:val="0"/>
          <w:numId w:val="1001"/>
        </w:numPr>
        <w:pStyle w:val="Compact"/>
      </w:pPr>
      <w:r>
        <w:t xml:space="preserve">Улица Петровка, дом 11</w:t>
      </w:r>
    </w:p>
    <w:p>
      <w:pPr>
        <w:numPr>
          <w:ilvl w:val="0"/>
          <w:numId w:val="1001"/>
        </w:numPr>
        <w:pStyle w:val="Compact"/>
      </w:pPr>
      <w:r>
        <w:t xml:space="preserve">Улица Петровка, дом 17</w:t>
      </w:r>
    </w:p>
    <w:p>
      <w:pPr>
        <w:numPr>
          <w:ilvl w:val="0"/>
          <w:numId w:val="1001"/>
        </w:numPr>
        <w:pStyle w:val="Compact"/>
      </w:pPr>
      <w:r>
        <w:t xml:space="preserve">Улица Петровские линии, дом 1</w:t>
      </w:r>
    </w:p>
    <w:p>
      <w:pPr>
        <w:numPr>
          <w:ilvl w:val="0"/>
          <w:numId w:val="1001"/>
        </w:numPr>
        <w:pStyle w:val="Compact"/>
      </w:pPr>
      <w:r>
        <w:t xml:space="preserve">Гоголевский бульвар, дом 17, строение 1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hyperlink r:id="rId21"/>
          </w:p>
        </w:tc>
        <w:tc>
          <w:tcPr/>
          <w:p>
            <w:pPr>
              <w:pStyle w:val="Compact"/>
              <w:jc w:val="left"/>
            </w:pPr>
            <w:hyperlink r:id="rId21"/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http://orehovo-borisovo-juzhnoe.mos.ru/parking/news/detail/3249105.html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t.mos.ru/images/Infographics/cargo-parking.jpg" TargetMode="External" /><Relationship Type="http://schemas.openxmlformats.org/officeDocument/2006/relationships/hyperlink" Id="rId23" Target="http://orehovo-borisovo-juzhnoe.mos.ru" TargetMode="External" /><Relationship Type="http://schemas.openxmlformats.org/officeDocument/2006/relationships/hyperlink" Id="rId22" Target="http://orehovo-borisovo-juzhnoe.mos.ru/parking/news/detail/324910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t.mos.ru/images/Infographics/cargo-parking.jpg" TargetMode="External" /><Relationship Type="http://schemas.openxmlformats.org/officeDocument/2006/relationships/hyperlink" Id="rId23" Target="http://orehovo-borisovo-juzhnoe.mos.ru" TargetMode="External" /><Relationship Type="http://schemas.openxmlformats.org/officeDocument/2006/relationships/hyperlink" Id="rId22" Target="http://orehovo-borisovo-juzhnoe.mos.ru/parking/news/detail/324910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2025-04-10T01:43:25Z</dcterms:created>
  <dcterms:modified xsi:type="dcterms:W3CDTF">2025-04-10T01:43:25Z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