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7c1e28aa77600dde3081cf6a3b16bbcd046989"/>
    <w:p>
      <w:pPr>
        <w:pStyle w:val="Heading3"/>
      </w:pPr>
      <w:r>
        <w:t xml:space="preserve">Этапы реализации установки жителями ограждающих устройств (шлагбаумов) на придомовых территориях</w:t>
      </w:r>
    </w:p>
    <w:p>
      <w:pPr>
        <w:pStyle w:val="FirstParagraph"/>
      </w:pPr>
      <w:r>
        <w:t xml:space="preserve">26.05.2016</w:t>
      </w:r>
    </w:p>
    <w:p>
      <w:pPr>
        <w:pStyle w:val="BodyText"/>
      </w:pPr>
      <w:r>
        <w:t xml:space="preserve">Схема размещения составлена Департаментом жилищно-коммунального хозяйства и благоустройства города Москвы в соответствии с постановлением Правительства Москвы от 02.07.2013 № 428-ПП «О порядке установки ограждений на придомовых территориях в городе Москве» и предусматривает следующие этапы реализации установки жителями шлагбаумов на придомовых территориях:</w:t>
      </w:r>
    </w:p>
    <w:p>
      <w:pPr>
        <w:pStyle w:val="BodyText"/>
      </w:pPr>
      <w:r>
        <w:t xml:space="preserve">1. Размещение управой района и префектурой в СМИ информации для жителей округа о преимуществах закрытия дворовых территорий.</w:t>
      </w:r>
    </w:p>
    <w:p>
      <w:pPr>
        <w:pStyle w:val="BodyText"/>
      </w:pPr>
      <w:r>
        <w:t xml:space="preserve">2. Собрание жителей с принятием решения об установке ограждающих устройств.</w:t>
      </w:r>
    </w:p>
    <w:p>
      <w:pPr>
        <w:pStyle w:val="BodyText"/>
      </w:pPr>
      <w:r>
        <w:t xml:space="preserve">3. Собрание жителей с передачей Совету депутатов решения об установке ограждающих устройств, ограничивающих проезд на дворовую территорию. К решению должен прилагаться проект размещения ограждающего устройства с указанием места размещения, типа, размера и внешнего вида ограждающего устройства.</w:t>
      </w:r>
    </w:p>
    <w:p>
      <w:pPr>
        <w:pStyle w:val="BodyText"/>
      </w:pPr>
      <w:r>
        <w:t xml:space="preserve">4. Вынесение Советом муниципальных депутатов решения о согласовании установки ограждающего устройства (30 дней).</w:t>
      </w:r>
    </w:p>
    <w:p>
      <w:pPr>
        <w:pStyle w:val="BodyText"/>
      </w:pPr>
      <w:r>
        <w:t xml:space="preserve">5. Направление Советом муниципальных депутатов решения уполномоченному собственниками лицу.</w:t>
      </w:r>
    </w:p>
    <w:p>
      <w:pPr>
        <w:pStyle w:val="BodyText"/>
      </w:pPr>
      <w:r>
        <w:t xml:space="preserve">6. Установка и эксплуатация за счет средств жителей ограждающих конструкций.</w:t>
      </w:r>
    </w:p>
    <w:p>
      <w:pPr>
        <w:pStyle w:val="BodyText"/>
      </w:pPr>
      <w:r>
        <w:t xml:space="preserve">В дальнейшем, после установки жителями ограждающих устройств, въезд на придомовую территорию транспортных средств собственников помещений многоквартирного дома и иных лиц осуществляется в порядке, установленном общим собранием собственников помещений.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http://orehovo-borisovo-juzhnoe.mos.ru/parking/news/detail/3018634.html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arking/news/detail/30186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arking/news/detail/30186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2025-04-10T01:43:03Z</dcterms:created>
  <dcterms:modified xsi:type="dcterms:W3CDTF">2025-04-10T01:43:03Z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