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2307fea476689ffadf4b63180ce230bdae5a5"/>
    <w:p>
      <w:pPr>
        <w:pStyle w:val="Heading3"/>
      </w:pPr>
      <w:r>
        <w:t xml:space="preserve">План окружных и районных мероприятий по подготовке и проведению празднования 77-й годовщины Победы в Великой Отечественной войне 1941-1945 гr. в Южном административном округе города Москвы в 2022 году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hyperlink r:id="rId20">
        <w:r>
          <w:rPr>
            <w:rStyle w:val="Hyperlink"/>
          </w:rPr>
          <w:t xml:space="preserve">План окружных и районных мероприятий по подготовке и проведению празднования 77-й годовщины Победы в Великой Отечественной войне 1941-1945 гr. в Южном административном округе города Москвы в 2022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http://orehovo-borisovo-juzhnoe.mos.ru/about/the-plan-of-measures/detail/10777823.html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_1996185903.pdf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077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_1996185903.pdf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077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2024-06-26T15:00:38Z</dcterms:created>
  <dcterms:modified xsi:type="dcterms:W3CDTF">2024-06-26T15:00:38Z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