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34c7c7a231a82f44d8ef36411a92f8b960106f"/>
    <w:p>
      <w:pPr>
        <w:pStyle w:val="Heading3"/>
      </w:pPr>
      <w:r>
        <w:t xml:space="preserve">«Форд», государственный регистрационный знак /VIN номер отсутствует</w:t>
      </w:r>
    </w:p>
    <w:p>
      <w:pPr>
        <w:pStyle w:val="FirstParagraph"/>
      </w:pPr>
      <w:r>
        <w:t xml:space="preserve">17.04.2025</w:t>
      </w:r>
    </w:p>
    <w:bookmarkEnd w:id="20"/>
    <w:bookmarkStart w:id="32" w:name="X8827de793c50bf2f9bd19c0e617780f614548bf"/>
    <w:p>
      <w:pPr>
        <w:pStyle w:val="Heading1"/>
      </w:pPr>
      <w:r>
        <w:t xml:space="preserve">Просим владельца автотранспортного средства «Форд», государственный регистрационный знак /VIN номер отсутствует, расположенного по адресу: г. Москва, Гурьевский проезд, д.11, корп. 2, стр. 2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53 от 17.04.2025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416-WA001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416-WA001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416-WA002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http://orehovo-borisovo-juzhnoe.mos.ru/abandoned-stripped-vehicles/detail/12920774.html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920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920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2025-04-20T09:24:46Z</dcterms:created>
  <dcterms:modified xsi:type="dcterms:W3CDTF">2025-04-20T09:24:46Z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